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206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C492C" w14:paraId="72FE62F0" w14:textId="77777777" w:rsidTr="00CA2F7F">
        <w:tc>
          <w:tcPr>
            <w:tcW w:w="10206" w:type="dxa"/>
          </w:tcPr>
          <w:p w14:paraId="281CC7D9" w14:textId="77777777" w:rsidR="00CA2F7F" w:rsidRDefault="00CA2F7F" w:rsidP="00CA2F7F">
            <w:pPr>
              <w:spacing w:after="120"/>
              <w:rPr>
                <w:b/>
                <w:bCs/>
                <w:color w:val="002060"/>
                <w:sz w:val="40"/>
                <w:szCs w:val="40"/>
              </w:rPr>
            </w:pPr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Niveau : </w:t>
            </w:r>
            <w:r>
              <w:rPr>
                <w:b/>
                <w:bCs/>
                <w:color w:val="002060"/>
                <w:sz w:val="40"/>
                <w:szCs w:val="40"/>
              </w:rPr>
              <w:t>5</w:t>
            </w:r>
            <w:r w:rsidRPr="00694EE2">
              <w:rPr>
                <w:b/>
                <w:bCs/>
                <w:color w:val="002060"/>
                <w:sz w:val="40"/>
                <w:szCs w:val="40"/>
                <w:vertAlign w:val="superscript"/>
              </w:rPr>
              <w:t>e</w:t>
            </w:r>
            <w:r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</w:p>
          <w:p w14:paraId="732BAA0B" w14:textId="51CAD5CE" w:rsidR="00CA2F7F" w:rsidRPr="00EE1945" w:rsidRDefault="00CA2F7F" w:rsidP="00CA2F7F">
            <w:pPr>
              <w:spacing w:after="120"/>
              <w:rPr>
                <w:b/>
                <w:bCs/>
                <w:color w:val="002060"/>
                <w:sz w:val="40"/>
                <w:szCs w:val="40"/>
              </w:rPr>
            </w:pPr>
            <w:r w:rsidRPr="49A801CC">
              <w:rPr>
                <w:b/>
                <w:bCs/>
                <w:color w:val="002060"/>
                <w:sz w:val="40"/>
                <w:szCs w:val="40"/>
              </w:rPr>
              <w:t xml:space="preserve">Thème : </w:t>
            </w:r>
            <w:r>
              <w:rPr>
                <w:b/>
                <w:bCs/>
                <w:color w:val="002060"/>
                <w:sz w:val="40"/>
                <w:szCs w:val="40"/>
              </w:rPr>
              <w:t>nombres relatifs – résolution de problèmes</w:t>
            </w:r>
          </w:p>
          <w:p w14:paraId="6A59DBA2" w14:textId="77777777" w:rsidR="00CA2F7F" w:rsidRDefault="00CA2F7F" w:rsidP="00CA2F7F">
            <w:pPr>
              <w:jc w:val="both"/>
              <w:rPr>
                <w:i/>
                <w:iCs/>
                <w:color w:val="002060"/>
              </w:rPr>
            </w:pPr>
            <w:r w:rsidRPr="00D35AE0">
              <w:rPr>
                <w:i/>
                <w:iCs/>
                <w:color w:val="002060"/>
              </w:rPr>
              <w:t>Remarque</w:t>
            </w:r>
            <w:r>
              <w:rPr>
                <w:i/>
                <w:iCs/>
                <w:color w:val="002060"/>
              </w:rPr>
              <w:t>s</w:t>
            </w:r>
            <w:r w:rsidRPr="00D35AE0">
              <w:rPr>
                <w:i/>
                <w:iCs/>
                <w:color w:val="002060"/>
              </w:rPr>
              <w:t> importante</w:t>
            </w:r>
            <w:r>
              <w:rPr>
                <w:i/>
                <w:iCs/>
                <w:color w:val="002060"/>
              </w:rPr>
              <w:t>s</w:t>
            </w:r>
            <w:r w:rsidRPr="00D35AE0">
              <w:rPr>
                <w:i/>
                <w:iCs/>
                <w:color w:val="002060"/>
              </w:rPr>
              <w:t xml:space="preserve"> : </w:t>
            </w:r>
          </w:p>
          <w:p w14:paraId="144BCE57" w14:textId="22E3FBF3" w:rsidR="00CA2F7F" w:rsidRPr="00F500B1" w:rsidRDefault="00CA2F7F" w:rsidP="00CA2F7F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  <w:iCs/>
                <w:color w:val="002060"/>
              </w:rPr>
            </w:pPr>
            <w:proofErr w:type="gramStart"/>
            <w:r w:rsidRPr="00F500B1">
              <w:rPr>
                <w:i/>
                <w:iCs/>
                <w:color w:val="002060"/>
              </w:rPr>
              <w:t>cette</w:t>
            </w:r>
            <w:proofErr w:type="gramEnd"/>
            <w:r w:rsidRPr="00F500B1">
              <w:rPr>
                <w:i/>
                <w:iCs/>
                <w:color w:val="002060"/>
              </w:rPr>
              <w:t xml:space="preserve"> fiche ne doit en aucun cas être prise telle quelle. Elle constitue un support de réflexions </w:t>
            </w:r>
            <w:r w:rsidR="006064B6">
              <w:rPr>
                <w:i/>
                <w:iCs/>
                <w:color w:val="002060"/>
              </w:rPr>
              <w:t xml:space="preserve">pédagogiques et </w:t>
            </w:r>
            <w:r w:rsidRPr="00F500B1">
              <w:rPr>
                <w:i/>
                <w:iCs/>
                <w:color w:val="002060"/>
              </w:rPr>
              <w:t>didactiques et peut intervenir dans plusieurs séances ;</w:t>
            </w:r>
          </w:p>
          <w:p w14:paraId="3B379614" w14:textId="77777777" w:rsidR="00CA2F7F" w:rsidRPr="00F500B1" w:rsidRDefault="00CA2F7F" w:rsidP="00CA2F7F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  <w:iCs/>
                <w:color w:val="002060"/>
              </w:rPr>
            </w:pPr>
            <w:proofErr w:type="gramStart"/>
            <w:r w:rsidRPr="00F500B1">
              <w:rPr>
                <w:i/>
                <w:iCs/>
                <w:color w:val="002060"/>
              </w:rPr>
              <w:t>les</w:t>
            </w:r>
            <w:proofErr w:type="gramEnd"/>
            <w:r w:rsidRPr="00F500B1">
              <w:rPr>
                <w:i/>
                <w:iCs/>
                <w:color w:val="002060"/>
              </w:rPr>
              <w:t xml:space="preserve"> activités présentées n’ont pas vocation à figurer dans un cahier de cours.</w:t>
            </w:r>
          </w:p>
          <w:p w14:paraId="5E855920" w14:textId="77777777" w:rsidR="00CA2F7F" w:rsidRPr="00FC4FA0" w:rsidRDefault="00CA2F7F" w:rsidP="00CA2F7F">
            <w:pPr>
              <w:jc w:val="both"/>
              <w:rPr>
                <w:color w:val="002060"/>
                <w:sz w:val="12"/>
                <w:szCs w:val="12"/>
              </w:rPr>
            </w:pPr>
          </w:p>
          <w:p w14:paraId="3A8DF50A" w14:textId="45FC5BF8" w:rsidR="006C492C" w:rsidRPr="00CA2F7F" w:rsidRDefault="00CA2F7F" w:rsidP="00CA2F7F">
            <w:pPr>
              <w:rPr>
                <w:color w:val="333333"/>
                <w:sz w:val="18"/>
                <w:szCs w:val="18"/>
              </w:rPr>
            </w:pPr>
            <w:r w:rsidRPr="00CA2F7F">
              <w:rPr>
                <w:rFonts w:eastAsiaTheme="minorEastAsia"/>
                <w:b/>
                <w:bCs/>
                <w:i/>
                <w:iCs/>
                <w:color w:val="002060"/>
              </w:rPr>
              <w:t>Question à se poser avant</w:t>
            </w:r>
            <w:r w:rsidRPr="00CA2F7F">
              <w:rPr>
                <w:rFonts w:eastAsiaTheme="minorEastAsia"/>
                <w:i/>
                <w:iCs/>
                <w:color w:val="002060"/>
              </w:rPr>
              <w:t xml:space="preserve"> chaque exercice : quels sont les prérequis autres</w:t>
            </w:r>
            <w:r>
              <w:rPr>
                <w:rFonts w:eastAsiaTheme="minorEastAsia"/>
                <w:i/>
                <w:iCs/>
                <w:color w:val="002060"/>
              </w:rPr>
              <w:t xml:space="preserve"> que les nombres relatifs</w:t>
            </w:r>
            <w:r w:rsidR="006064B6">
              <w:rPr>
                <w:rFonts w:eastAsiaTheme="minorEastAsia"/>
                <w:i/>
                <w:iCs/>
                <w:color w:val="002060"/>
              </w:rPr>
              <w:t> ?</w:t>
            </w:r>
          </w:p>
        </w:tc>
      </w:tr>
      <w:tr w:rsidR="006C492C" w14:paraId="34628A8A" w14:textId="77777777" w:rsidTr="00CA2F7F">
        <w:tc>
          <w:tcPr>
            <w:tcW w:w="10206" w:type="dxa"/>
          </w:tcPr>
          <w:p w14:paraId="24267704" w14:textId="77777777" w:rsidR="006C492C" w:rsidRPr="00505F82" w:rsidRDefault="006C492C" w:rsidP="00505F82">
            <w:pPr>
              <w:spacing w:before="240" w:after="120"/>
              <w:rPr>
                <w:b/>
                <w:bCs/>
                <w:color w:val="7030A0"/>
                <w:sz w:val="28"/>
                <w:szCs w:val="28"/>
              </w:rPr>
            </w:pPr>
            <w:r w:rsidRPr="00505F82">
              <w:rPr>
                <w:b/>
                <w:bCs/>
                <w:color w:val="7030A0"/>
                <w:sz w:val="28"/>
                <w:szCs w:val="28"/>
              </w:rPr>
              <w:t>Citation ou référence :</w:t>
            </w:r>
          </w:p>
          <w:p w14:paraId="4CFA2B78" w14:textId="5A2F353E" w:rsidR="006C492C" w:rsidRPr="006064B6" w:rsidRDefault="007E43D6" w:rsidP="00F711F3">
            <w:pPr>
              <w:spacing w:after="240"/>
              <w:rPr>
                <w:rFonts w:cstheme="minorHAnsi"/>
              </w:rPr>
            </w:pPr>
            <w:r w:rsidRPr="006064B6">
              <w:rPr>
                <w:rFonts w:cstheme="minorHAnsi"/>
              </w:rPr>
              <w:t xml:space="preserve">Éduscol : « </w:t>
            </w:r>
            <w:r w:rsidRPr="006064B6">
              <w:rPr>
                <w:rFonts w:cstheme="minorHAnsi"/>
                <w:i/>
                <w:iCs/>
              </w:rPr>
              <w:t xml:space="preserve">L’utilisation des nombres relatifs pour modéliser des grandeurs physiques (température, profondeur, altitude) ou sociales (dates, gains et pertes) susceptibles de prendre des valeurs en dessous de </w:t>
            </w:r>
            <w:r w:rsidR="008B2285" w:rsidRPr="006064B6">
              <w:rPr>
                <w:rFonts w:cstheme="minorHAnsi"/>
                <w:i/>
                <w:iCs/>
              </w:rPr>
              <w:t>zéro</w:t>
            </w:r>
            <w:r w:rsidRPr="006064B6">
              <w:rPr>
                <w:rFonts w:cstheme="minorHAnsi"/>
                <w:i/>
                <w:iCs/>
              </w:rPr>
              <w:t xml:space="preserve"> contribue </w:t>
            </w:r>
            <w:proofErr w:type="spellStart"/>
            <w:r w:rsidRPr="006064B6">
              <w:rPr>
                <w:rFonts w:cstheme="minorHAnsi"/>
                <w:i/>
                <w:iCs/>
              </w:rPr>
              <w:t>a</w:t>
            </w:r>
            <w:proofErr w:type="spellEnd"/>
            <w:r w:rsidRPr="006064B6">
              <w:rPr>
                <w:rFonts w:cstheme="minorHAnsi"/>
                <w:i/>
                <w:iCs/>
              </w:rPr>
              <w:t>̀ l’</w:t>
            </w:r>
            <w:r w:rsidR="008B2285" w:rsidRPr="006064B6">
              <w:rPr>
                <w:rFonts w:cstheme="minorHAnsi"/>
                <w:i/>
                <w:iCs/>
              </w:rPr>
              <w:t>étude</w:t>
            </w:r>
            <w:r w:rsidRPr="006064B6">
              <w:rPr>
                <w:rFonts w:cstheme="minorHAnsi"/>
                <w:i/>
                <w:iCs/>
              </w:rPr>
              <w:t xml:space="preserve"> des </w:t>
            </w:r>
            <w:r w:rsidR="008B2285" w:rsidRPr="006064B6">
              <w:rPr>
                <w:rFonts w:cstheme="minorHAnsi"/>
                <w:i/>
                <w:iCs/>
              </w:rPr>
              <w:t>systèmes</w:t>
            </w:r>
            <w:r w:rsidRPr="006064B6">
              <w:rPr>
                <w:rFonts w:cstheme="minorHAnsi"/>
                <w:i/>
                <w:iCs/>
              </w:rPr>
              <w:t xml:space="preserve"> naturels et techniques (domaine 4) ainsi qu’aux </w:t>
            </w:r>
            <w:r w:rsidR="008B2285" w:rsidRPr="006064B6">
              <w:rPr>
                <w:rFonts w:cstheme="minorHAnsi"/>
                <w:i/>
                <w:iCs/>
              </w:rPr>
              <w:t>représentations</w:t>
            </w:r>
            <w:r w:rsidR="00AE1C71" w:rsidRPr="006064B6">
              <w:rPr>
                <w:rFonts w:cstheme="minorHAnsi"/>
                <w:i/>
                <w:iCs/>
              </w:rPr>
              <w:t xml:space="preserve"> </w:t>
            </w:r>
            <w:r w:rsidRPr="006064B6">
              <w:rPr>
                <w:rFonts w:cstheme="minorHAnsi"/>
                <w:i/>
                <w:iCs/>
              </w:rPr>
              <w:t>du monde et de l’</w:t>
            </w:r>
            <w:r w:rsidR="008B2285" w:rsidRPr="006064B6">
              <w:rPr>
                <w:rFonts w:cstheme="minorHAnsi"/>
                <w:i/>
                <w:iCs/>
              </w:rPr>
              <w:t>activité</w:t>
            </w:r>
            <w:r w:rsidRPr="006064B6">
              <w:rPr>
                <w:rFonts w:cstheme="minorHAnsi"/>
                <w:i/>
                <w:iCs/>
              </w:rPr>
              <w:t>́ humaine (domaine 5)</w:t>
            </w:r>
            <w:r w:rsidRPr="006064B6">
              <w:rPr>
                <w:rFonts w:cstheme="minorHAnsi"/>
              </w:rPr>
              <w:t xml:space="preserve"> » </w:t>
            </w:r>
          </w:p>
        </w:tc>
      </w:tr>
      <w:tr w:rsidR="006C492C" w14:paraId="0E9F04A7" w14:textId="77777777" w:rsidTr="00CA2F7F">
        <w:tc>
          <w:tcPr>
            <w:tcW w:w="10206" w:type="dxa"/>
          </w:tcPr>
          <w:p w14:paraId="203D940E" w14:textId="77777777" w:rsidR="002143F0" w:rsidRPr="007D2987" w:rsidRDefault="002143F0" w:rsidP="002143F0">
            <w:pPr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Prérequis</w:t>
            </w:r>
          </w:p>
          <w:p w14:paraId="1094106C" w14:textId="77777777" w:rsidR="002143F0" w:rsidRDefault="00DC6985" w:rsidP="002143F0">
            <w:r>
              <w:t xml:space="preserve">Les élèves </w:t>
            </w:r>
            <w:r w:rsidR="002143F0">
              <w:t>ont déjà travaillé dans des chapitres précédents :</w:t>
            </w:r>
            <w:r>
              <w:t xml:space="preserve"> </w:t>
            </w:r>
          </w:p>
          <w:p w14:paraId="59EEEE31" w14:textId="6241E691" w:rsidR="002143F0" w:rsidRDefault="006B0EDE" w:rsidP="002143F0">
            <w:pPr>
              <w:pStyle w:val="Paragraphedeliste"/>
              <w:numPr>
                <w:ilvl w:val="0"/>
                <w:numId w:val="4"/>
              </w:numPr>
            </w:pPr>
            <w:proofErr w:type="gramStart"/>
            <w:r>
              <w:t>comment</w:t>
            </w:r>
            <w:proofErr w:type="gramEnd"/>
            <w:r>
              <w:t xml:space="preserve"> comparer</w:t>
            </w:r>
            <w:r w:rsidR="002143F0">
              <w:t xml:space="preserve"> d</w:t>
            </w:r>
            <w:r w:rsidR="00DC6985">
              <w:t>es nombres relatifs</w:t>
            </w:r>
            <w:r w:rsidR="002143F0">
              <w:t> ;</w:t>
            </w:r>
          </w:p>
          <w:p w14:paraId="5AEE0AB3" w14:textId="08B9D8E5" w:rsidR="006B0EDE" w:rsidRDefault="006B0EDE" w:rsidP="009A6C60">
            <w:pPr>
              <w:pStyle w:val="Paragraphedeliste"/>
              <w:numPr>
                <w:ilvl w:val="0"/>
                <w:numId w:val="4"/>
              </w:numPr>
            </w:pPr>
            <w:proofErr w:type="gramStart"/>
            <w:r>
              <w:t>comment</w:t>
            </w:r>
            <w:proofErr w:type="gramEnd"/>
            <w:r>
              <w:t xml:space="preserve"> additionner des</w:t>
            </w:r>
            <w:r w:rsidR="00CA2F7F">
              <w:t xml:space="preserve"> nombres relatifs</w:t>
            </w:r>
            <w:r>
              <w:t>.</w:t>
            </w:r>
          </w:p>
          <w:p w14:paraId="6A4C5D2A" w14:textId="7B6BE882" w:rsidR="002143F0" w:rsidRPr="002143F0" w:rsidRDefault="002143F0" w:rsidP="002143F0">
            <w:pPr>
              <w:pStyle w:val="Paragraphedeliste"/>
              <w:rPr>
                <w:sz w:val="12"/>
                <w:szCs w:val="12"/>
              </w:rPr>
            </w:pPr>
          </w:p>
        </w:tc>
      </w:tr>
      <w:tr w:rsidR="006C492C" w14:paraId="7F75F111" w14:textId="77777777" w:rsidTr="00CA2F7F">
        <w:tc>
          <w:tcPr>
            <w:tcW w:w="10206" w:type="dxa"/>
          </w:tcPr>
          <w:p w14:paraId="29EE7274" w14:textId="77777777" w:rsidR="00C81634" w:rsidRPr="00C81634" w:rsidRDefault="00C81634" w:rsidP="001921DC">
            <w:pPr>
              <w:rPr>
                <w:color w:val="000000" w:themeColor="text1"/>
                <w:sz w:val="12"/>
                <w:szCs w:val="12"/>
              </w:rPr>
            </w:pPr>
          </w:p>
          <w:p w14:paraId="4A0BA0A1" w14:textId="00ADE31D" w:rsidR="007A10F5" w:rsidRDefault="002143F0" w:rsidP="001921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 exercices proposés permettent de réinvestir, dans des problèmes concrets (par exemple </w:t>
            </w:r>
            <w:r>
              <w:t xml:space="preserve">altitude, températures, bilan financier…) </w:t>
            </w:r>
            <w:r>
              <w:rPr>
                <w:color w:val="000000" w:themeColor="text1"/>
              </w:rPr>
              <w:t>ou internes aux mathématiques (par exemple le r</w:t>
            </w:r>
            <w:r>
              <w:t>epérage de points sur une droite graduée)</w:t>
            </w:r>
            <w:r>
              <w:rPr>
                <w:color w:val="000000" w:themeColor="text1"/>
              </w:rPr>
              <w:t xml:space="preserve">, ce qui a été vu, dans des chapitres traités en amont. </w:t>
            </w:r>
          </w:p>
          <w:p w14:paraId="41471F4E" w14:textId="7935D5CB" w:rsidR="002143F0" w:rsidRDefault="002143F0" w:rsidP="001921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Ils ne font pas l’objet d’une séance particulière mais pour chacun d’entre eux, on doit se poser la question des objectifs visés.</w:t>
            </w:r>
          </w:p>
          <w:p w14:paraId="0CA92FDE" w14:textId="519E1876" w:rsidR="00460244" w:rsidRDefault="00460244" w:rsidP="001921DC"/>
          <w:p w14:paraId="422E3A65" w14:textId="76623694" w:rsidR="00460244" w:rsidRPr="002143F0" w:rsidRDefault="00C81634" w:rsidP="001921D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7030A0"/>
              </w:rPr>
              <w:t>Sommes de nombres relatifs</w:t>
            </w:r>
          </w:p>
          <w:p w14:paraId="13DD3FA7" w14:textId="17249BCC" w:rsidR="00460244" w:rsidRPr="00E262E5" w:rsidRDefault="002143F0" w:rsidP="001921DC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>Objectifs :</w:t>
            </w:r>
            <w:r w:rsidR="00E262E5">
              <w:rPr>
                <w:b/>
                <w:bCs/>
                <w:color w:val="0070C0"/>
              </w:rPr>
              <w:t xml:space="preserve"> </w:t>
            </w:r>
            <w:r w:rsidR="00E262E5" w:rsidRPr="00E262E5">
              <w:rPr>
                <w:i/>
                <w:iCs/>
              </w:rPr>
              <w:t>modéliser un problème concret et</w:t>
            </w:r>
            <w:r w:rsidR="00E262E5" w:rsidRPr="00E262E5">
              <w:rPr>
                <w:b/>
                <w:bCs/>
              </w:rPr>
              <w:t xml:space="preserve"> </w:t>
            </w:r>
            <w:r w:rsidR="00E262E5">
              <w:rPr>
                <w:i/>
                <w:iCs/>
              </w:rPr>
              <w:t>revoir le calcul mental de sommes de plus de deux nombres relatifs.</w:t>
            </w:r>
          </w:p>
          <w:p w14:paraId="6F2CB818" w14:textId="77777777" w:rsidR="00E262E5" w:rsidRPr="00E262E5" w:rsidRDefault="00E262E5" w:rsidP="001921DC">
            <w:pPr>
              <w:rPr>
                <w:sz w:val="12"/>
                <w:szCs w:val="12"/>
              </w:rPr>
            </w:pPr>
          </w:p>
          <w:p w14:paraId="0789ED53" w14:textId="37603449" w:rsidR="001921DC" w:rsidRPr="00C81634" w:rsidRDefault="001921DC" w:rsidP="00C81634">
            <w:pPr>
              <w:pStyle w:val="Paragraphedeliste"/>
              <w:numPr>
                <w:ilvl w:val="0"/>
                <w:numId w:val="5"/>
              </w:numPr>
              <w:ind w:left="458"/>
              <w:rPr>
                <w:rFonts w:cstheme="minorHAnsi"/>
              </w:rPr>
            </w:pPr>
            <w:r w:rsidRPr="00C81634">
              <w:rPr>
                <w:rFonts w:cstheme="minorHAnsi"/>
              </w:rPr>
              <w:t xml:space="preserve">Lors d’une </w:t>
            </w:r>
            <w:r w:rsidR="009D1380" w:rsidRPr="00C81634">
              <w:rPr>
                <w:rFonts w:cstheme="minorHAnsi"/>
              </w:rPr>
              <w:t>promenade dans une région vallonée</w:t>
            </w:r>
            <w:r w:rsidRPr="00C81634">
              <w:rPr>
                <w:rFonts w:cstheme="minorHAnsi"/>
              </w:rPr>
              <w:t xml:space="preserve">, une </w:t>
            </w:r>
            <w:r w:rsidR="009D1380" w:rsidRPr="00C81634">
              <w:rPr>
                <w:rFonts w:cstheme="minorHAnsi"/>
              </w:rPr>
              <w:t>randonneuse</w:t>
            </w:r>
            <w:r w:rsidRPr="00C81634">
              <w:rPr>
                <w:rFonts w:cstheme="minorHAnsi"/>
              </w:rPr>
              <w:t xml:space="preserve"> part d’un point A situé à l’altitude de 270 m.</w:t>
            </w:r>
          </w:p>
          <w:p w14:paraId="75DCAA04" w14:textId="6D783CC0" w:rsidR="001921DC" w:rsidRPr="00C81634" w:rsidRDefault="009D1380" w:rsidP="00C81634">
            <w:pPr>
              <w:ind w:left="458"/>
              <w:rPr>
                <w:rFonts w:cstheme="minorHAnsi"/>
              </w:rPr>
            </w:pPr>
            <w:r w:rsidRPr="00C81634">
              <w:rPr>
                <w:rFonts w:cstheme="minorHAnsi"/>
              </w:rPr>
              <w:t xml:space="preserve">Pour atteindre un point B, </w:t>
            </w:r>
            <w:r w:rsidRPr="007007EE">
              <w:rPr>
                <w:rFonts w:cstheme="minorHAnsi"/>
              </w:rPr>
              <w:t>elle</w:t>
            </w:r>
            <w:r w:rsidR="001921DC" w:rsidRPr="007007EE">
              <w:rPr>
                <w:rFonts w:cstheme="minorHAnsi"/>
              </w:rPr>
              <w:t xml:space="preserve"> </w:t>
            </w:r>
            <w:r w:rsidR="006064B6" w:rsidRPr="007007EE">
              <w:rPr>
                <w:rFonts w:cstheme="minorHAnsi"/>
              </w:rPr>
              <w:t xml:space="preserve">monte </w:t>
            </w:r>
            <w:r w:rsidR="001921DC" w:rsidRPr="007007EE">
              <w:rPr>
                <w:rFonts w:cstheme="minorHAnsi"/>
              </w:rPr>
              <w:t>de</w:t>
            </w:r>
            <w:r w:rsidR="001921DC" w:rsidRPr="00C81634">
              <w:rPr>
                <w:rFonts w:cstheme="minorHAnsi"/>
              </w:rPr>
              <w:t xml:space="preserve"> 300 m puis redescend de 200 m, elle remonte de 250 m</w:t>
            </w:r>
            <w:r w:rsidRPr="00C81634">
              <w:rPr>
                <w:rFonts w:cstheme="minorHAnsi"/>
              </w:rPr>
              <w:t xml:space="preserve"> avant de redescendre de 320 m.</w:t>
            </w:r>
          </w:p>
          <w:p w14:paraId="12733D81" w14:textId="42EF6AB0" w:rsidR="00947221" w:rsidRPr="00C81634" w:rsidRDefault="00460244" w:rsidP="00C81634">
            <w:pPr>
              <w:ind w:left="458"/>
              <w:rPr>
                <w:rFonts w:cstheme="minorHAnsi"/>
              </w:rPr>
            </w:pPr>
            <w:r w:rsidRPr="00C81634">
              <w:rPr>
                <w:rFonts w:cstheme="minorHAnsi"/>
              </w:rPr>
              <w:t>Quelle est l’altitude du point B ?</w:t>
            </w:r>
          </w:p>
          <w:p w14:paraId="3E0FD975" w14:textId="77777777" w:rsidR="00C81634" w:rsidRPr="00C81634" w:rsidRDefault="00C81634" w:rsidP="00C81634">
            <w:pPr>
              <w:ind w:left="458"/>
              <w:rPr>
                <w:rFonts w:cstheme="minorHAnsi"/>
              </w:rPr>
            </w:pPr>
          </w:p>
          <w:p w14:paraId="66FFAE07" w14:textId="405142ED" w:rsidR="00C81634" w:rsidRPr="00C81634" w:rsidRDefault="00C81634" w:rsidP="00C81634">
            <w:pPr>
              <w:pStyle w:val="Paragraphedeliste"/>
              <w:numPr>
                <w:ilvl w:val="0"/>
                <w:numId w:val="5"/>
              </w:numPr>
              <w:ind w:left="458"/>
              <w:rPr>
                <w:rFonts w:eastAsia="Times New Roman" w:cstheme="minorHAnsi"/>
                <w:lang w:eastAsia="fr-FR"/>
              </w:rPr>
            </w:pPr>
            <w:r w:rsidRPr="00C81634">
              <w:rPr>
                <w:rFonts w:eastAsia="Times New Roman" w:cstheme="minorHAnsi"/>
              </w:rPr>
              <w:t>À 12h, la température est de 5°, entre 12h et 17h, elle augmente de 2°, et entre 18h et 22h, elle diminue de 8°. Quelle est la température à 22h ?</w:t>
            </w:r>
          </w:p>
          <w:p w14:paraId="6376556F" w14:textId="79C41D5A" w:rsidR="00C81634" w:rsidRPr="00C81634" w:rsidRDefault="00C81634" w:rsidP="00C81634">
            <w:pPr>
              <w:pStyle w:val="Paragraphedeliste"/>
              <w:ind w:left="458"/>
              <w:rPr>
                <w:rFonts w:eastAsia="Times New Roman" w:cstheme="minorHAnsi"/>
                <w:lang w:eastAsia="fr-FR"/>
              </w:rPr>
            </w:pPr>
          </w:p>
          <w:p w14:paraId="2F35DE61" w14:textId="1203F531" w:rsidR="00C81634" w:rsidRPr="00C81634" w:rsidRDefault="00C81634" w:rsidP="00C81634">
            <w:pPr>
              <w:pStyle w:val="Paragraphedeliste"/>
              <w:numPr>
                <w:ilvl w:val="0"/>
                <w:numId w:val="5"/>
              </w:numPr>
              <w:ind w:left="458"/>
              <w:jc w:val="both"/>
              <w:rPr>
                <w:rFonts w:cstheme="minorHAnsi"/>
              </w:rPr>
            </w:pPr>
            <w:r w:rsidRPr="00C81634">
              <w:rPr>
                <w:rFonts w:cstheme="minorHAnsi"/>
              </w:rPr>
              <w:t xml:space="preserve">Un cormoran situé à 8 m au-dessus du niveau de la mer plonge </w:t>
            </w:r>
            <w:r>
              <w:rPr>
                <w:rFonts w:cstheme="minorHAnsi"/>
              </w:rPr>
              <w:t xml:space="preserve">verticalement </w:t>
            </w:r>
            <w:r w:rsidRPr="00C81634">
              <w:rPr>
                <w:rFonts w:cstheme="minorHAnsi"/>
              </w:rPr>
              <w:t>pour pêcher un poisson et remonte à 5m au-dessus du niveau de la mer. Il a parcouru en tout 23m. À quelle profondeur était situé le poisson ?</w:t>
            </w:r>
          </w:p>
          <w:p w14:paraId="5D78B0CC" w14:textId="77777777" w:rsidR="003343D9" w:rsidRDefault="003343D9" w:rsidP="001921DC">
            <w:pPr>
              <w:rPr>
                <w:rFonts w:cstheme="minorHAnsi"/>
                <w:sz w:val="12"/>
                <w:szCs w:val="12"/>
              </w:rPr>
            </w:pPr>
          </w:p>
          <w:p w14:paraId="744642E4" w14:textId="77777777" w:rsidR="00C81634" w:rsidRDefault="00C81634" w:rsidP="001921DC">
            <w:pPr>
              <w:rPr>
                <w:rFonts w:cstheme="minorHAnsi"/>
                <w:sz w:val="12"/>
                <w:szCs w:val="12"/>
              </w:rPr>
            </w:pPr>
          </w:p>
          <w:p w14:paraId="63009B07" w14:textId="5CC28B34" w:rsidR="00C81634" w:rsidRDefault="00C81634" w:rsidP="001921DC">
            <w:pPr>
              <w:rPr>
                <w:rFonts w:cstheme="minorHAnsi"/>
                <w:sz w:val="12"/>
                <w:szCs w:val="12"/>
              </w:rPr>
            </w:pPr>
          </w:p>
          <w:p w14:paraId="2E6324B5" w14:textId="2C83ECED" w:rsidR="009A6C60" w:rsidRDefault="009A6C60" w:rsidP="001921DC">
            <w:pPr>
              <w:rPr>
                <w:rFonts w:cstheme="minorHAnsi"/>
                <w:sz w:val="12"/>
                <w:szCs w:val="12"/>
              </w:rPr>
            </w:pPr>
          </w:p>
          <w:p w14:paraId="5C250A46" w14:textId="77777777" w:rsidR="009A6C60" w:rsidRDefault="009A6C60" w:rsidP="001921DC">
            <w:pPr>
              <w:rPr>
                <w:rFonts w:cstheme="minorHAnsi"/>
                <w:sz w:val="12"/>
                <w:szCs w:val="12"/>
              </w:rPr>
            </w:pPr>
          </w:p>
          <w:p w14:paraId="77DB24CE" w14:textId="2D1FDECF" w:rsidR="007007EE" w:rsidRDefault="007007EE" w:rsidP="001921DC">
            <w:pPr>
              <w:rPr>
                <w:rFonts w:cstheme="minorHAnsi"/>
                <w:sz w:val="12"/>
                <w:szCs w:val="12"/>
              </w:rPr>
            </w:pPr>
          </w:p>
          <w:p w14:paraId="3AB37B4C" w14:textId="77777777" w:rsidR="007007EE" w:rsidRDefault="007007EE" w:rsidP="001921DC">
            <w:pPr>
              <w:rPr>
                <w:rFonts w:cstheme="minorHAnsi"/>
                <w:sz w:val="12"/>
                <w:szCs w:val="12"/>
              </w:rPr>
            </w:pPr>
          </w:p>
          <w:p w14:paraId="1A91497F" w14:textId="77777777" w:rsidR="00C81634" w:rsidRDefault="003343D9" w:rsidP="002143F0">
            <w:pPr>
              <w:rPr>
                <w:b/>
                <w:bCs/>
                <w:i/>
                <w:iCs/>
                <w:color w:val="0070C0"/>
              </w:rPr>
            </w:pPr>
            <w:r w:rsidRPr="00643972">
              <w:rPr>
                <w:b/>
                <w:bCs/>
                <w:color w:val="0070C0"/>
              </w:rPr>
              <w:lastRenderedPageBreak/>
              <w:t xml:space="preserve">Différenciation possible </w:t>
            </w:r>
            <w:r w:rsidRPr="00643972">
              <w:rPr>
                <w:b/>
                <w:bCs/>
                <w:i/>
                <w:iCs/>
                <w:color w:val="0070C0"/>
              </w:rPr>
              <w:t>:</w:t>
            </w:r>
            <w:r>
              <w:rPr>
                <w:b/>
                <w:bCs/>
                <w:i/>
                <w:iCs/>
                <w:color w:val="0070C0"/>
              </w:rPr>
              <w:t xml:space="preserve"> </w:t>
            </w:r>
          </w:p>
          <w:p w14:paraId="2B18FB1F" w14:textId="32C64735" w:rsidR="002143F0" w:rsidRDefault="00C81634" w:rsidP="0025098A">
            <w:pPr>
              <w:pStyle w:val="Paragraphedeliste"/>
              <w:numPr>
                <w:ilvl w:val="0"/>
                <w:numId w:val="4"/>
              </w:numPr>
              <w:ind w:left="458"/>
              <w:rPr>
                <w:i/>
                <w:iCs/>
              </w:rPr>
            </w:pPr>
            <w:r>
              <w:rPr>
                <w:i/>
                <w:iCs/>
              </w:rPr>
              <w:t xml:space="preserve">Pour les problèmes </w:t>
            </w:r>
            <w:r w:rsidRPr="00C81634">
              <w:rPr>
                <w:b/>
                <w:bCs/>
                <w:i/>
                <w:iCs/>
              </w:rPr>
              <w:t>a.</w:t>
            </w:r>
            <w:r>
              <w:rPr>
                <w:i/>
                <w:iCs/>
              </w:rPr>
              <w:t xml:space="preserve"> et </w:t>
            </w:r>
            <w:r w:rsidRPr="00C81634">
              <w:rPr>
                <w:b/>
                <w:bCs/>
                <w:i/>
                <w:iCs/>
              </w:rPr>
              <w:t>b.</w:t>
            </w:r>
            <w:r>
              <w:rPr>
                <w:i/>
                <w:iCs/>
              </w:rPr>
              <w:t xml:space="preserve">, </w:t>
            </w:r>
            <w:r w:rsidR="003343D9" w:rsidRPr="00C81634">
              <w:rPr>
                <w:i/>
                <w:iCs/>
              </w:rPr>
              <w:t>on peut conseiller aux élèves qui ne réussissent pas tout de suite à modéliser par une somme algébrique, de faire un schéma avec une droite graduée verticale</w:t>
            </w:r>
            <w:r w:rsidR="006064B6">
              <w:rPr>
                <w:i/>
                <w:iCs/>
              </w:rPr>
              <w:t>.</w:t>
            </w:r>
          </w:p>
          <w:p w14:paraId="655DCF52" w14:textId="6A6A077B" w:rsidR="00C81634" w:rsidRPr="00C81634" w:rsidRDefault="00C81634" w:rsidP="0025098A">
            <w:pPr>
              <w:pStyle w:val="Paragraphedeliste"/>
              <w:numPr>
                <w:ilvl w:val="0"/>
                <w:numId w:val="4"/>
              </w:numPr>
              <w:ind w:left="458"/>
              <w:rPr>
                <w:i/>
                <w:iCs/>
              </w:rPr>
            </w:pPr>
            <w:r>
              <w:rPr>
                <w:i/>
                <w:iCs/>
              </w:rPr>
              <w:t xml:space="preserve">Pour le problème </w:t>
            </w:r>
            <w:r w:rsidRPr="00C81634">
              <w:rPr>
                <w:b/>
                <w:bCs/>
                <w:i/>
                <w:iCs/>
              </w:rPr>
              <w:t>c.</w:t>
            </w:r>
            <w:r>
              <w:rPr>
                <w:i/>
                <w:iCs/>
              </w:rPr>
              <w:t xml:space="preserve"> et pour les élèves en difficulté, on peut commencer par poser la même question mais lorsque le cormoran est au départ situé à 5 m au-dessus du niveau de la mer. </w:t>
            </w:r>
          </w:p>
          <w:p w14:paraId="70BD6FB6" w14:textId="77777777" w:rsidR="00C244A3" w:rsidRDefault="00C244A3" w:rsidP="001921DC">
            <w:pPr>
              <w:ind w:firstLine="708"/>
            </w:pPr>
          </w:p>
          <w:p w14:paraId="26A1D736" w14:textId="597F8325" w:rsidR="003226E6" w:rsidRPr="00E262E5" w:rsidRDefault="0025098A" w:rsidP="001921DC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Frise chronologique</w:t>
            </w:r>
          </w:p>
          <w:p w14:paraId="17D52749" w14:textId="31CCF269" w:rsidR="001005A0" w:rsidRDefault="001005A0" w:rsidP="001921DC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>Objectifs :</w:t>
            </w:r>
            <w:r w:rsidR="0025098A">
              <w:rPr>
                <w:b/>
                <w:bCs/>
                <w:color w:val="0070C0"/>
              </w:rPr>
              <w:t xml:space="preserve"> </w:t>
            </w:r>
            <w:r w:rsidR="0025098A">
              <w:rPr>
                <w:i/>
                <w:iCs/>
              </w:rPr>
              <w:t>revoir les additions et soustractions de nombres relatifs négatifs, éventuellement à l’aide d’opérations à trou.</w:t>
            </w:r>
          </w:p>
          <w:p w14:paraId="282A2506" w14:textId="77777777" w:rsidR="0025098A" w:rsidRPr="0025098A" w:rsidRDefault="0025098A" w:rsidP="001921DC">
            <w:pPr>
              <w:rPr>
                <w:i/>
                <w:iCs/>
                <w:sz w:val="12"/>
                <w:szCs w:val="12"/>
              </w:rPr>
            </w:pPr>
          </w:p>
          <w:p w14:paraId="55B2F68D" w14:textId="7E50D7BE" w:rsidR="003226E6" w:rsidRDefault="00350AF5" w:rsidP="0025098A">
            <w:pPr>
              <w:pStyle w:val="Paragraphedeliste"/>
              <w:numPr>
                <w:ilvl w:val="0"/>
                <w:numId w:val="7"/>
              </w:numPr>
              <w:ind w:left="458"/>
              <w:jc w:val="both"/>
            </w:pPr>
            <w:r>
              <w:t xml:space="preserve"> Vers 360 avant JC</w:t>
            </w:r>
            <w:r w:rsidR="005053C4">
              <w:t xml:space="preserve">, le roi de Macédoine Philippe II réorganise son armée et achève la conquête de la Grèce en 338 avant JC. Combien de temps s’est écoulé entre ces deux </w:t>
            </w:r>
            <w:r w:rsidR="008B7EA2">
              <w:t>années</w:t>
            </w:r>
            <w:r w:rsidR="005053C4">
              <w:t> ?</w:t>
            </w:r>
            <w:r w:rsidR="3CCA1F91">
              <w:t xml:space="preserve"> </w:t>
            </w:r>
          </w:p>
          <w:p w14:paraId="60C3B3D9" w14:textId="1B6CDDF6" w:rsidR="00DE4A3E" w:rsidRDefault="005053C4" w:rsidP="0025098A">
            <w:pPr>
              <w:pStyle w:val="Paragraphedeliste"/>
              <w:numPr>
                <w:ilvl w:val="0"/>
                <w:numId w:val="7"/>
              </w:numPr>
              <w:ind w:left="458"/>
              <w:jc w:val="both"/>
            </w:pPr>
            <w:r>
              <w:t>L</w:t>
            </w:r>
            <w:r w:rsidR="00DE4A3E">
              <w:t xml:space="preserve">e déclin de l’empire romain dont l’Égypte faisait partie rend le travail des mathématiciens moins facile.  </w:t>
            </w:r>
            <w:r w:rsidR="00B840FF">
              <w:t xml:space="preserve">Hypatie, une des premières mathématiciennes connues, fut tuée en 415 avant JC par des fanatiques chrétiens. </w:t>
            </w:r>
            <w:r w:rsidR="00DE4A3E">
              <w:t>L</w:t>
            </w:r>
            <w:r>
              <w:t xml:space="preserve">a bibliothèque d’Alexandrie </w:t>
            </w:r>
            <w:r w:rsidR="00B840FF">
              <w:t xml:space="preserve">fut </w:t>
            </w:r>
            <w:r>
              <w:t xml:space="preserve">détruite </w:t>
            </w:r>
            <w:r w:rsidR="00B840FF">
              <w:t>24 ans plus tard. En quelle année la bibliothèque d’Alexandrie a-t-elle été détruite ?</w:t>
            </w:r>
          </w:p>
          <w:p w14:paraId="0DDCB9C8" w14:textId="46AE7372" w:rsidR="00C83A22" w:rsidRDefault="002F5B75" w:rsidP="0025098A">
            <w:pPr>
              <w:pStyle w:val="Paragraphedeliste"/>
              <w:numPr>
                <w:ilvl w:val="0"/>
                <w:numId w:val="7"/>
              </w:numPr>
              <w:ind w:left="458"/>
              <w:jc w:val="both"/>
            </w:pPr>
            <w:r>
              <w:t xml:space="preserve">Pythagore aurait vécu </w:t>
            </w:r>
            <w:r w:rsidR="002A0331">
              <w:t>90 ans et serait mort en 490 avant JC. En quelle année serait-il né ?</w:t>
            </w:r>
          </w:p>
          <w:p w14:paraId="72C480D4" w14:textId="778F322F" w:rsidR="006D2DB2" w:rsidRPr="0025098A" w:rsidRDefault="006D2DB2" w:rsidP="001005A0">
            <w:pPr>
              <w:ind w:firstLine="32"/>
              <w:rPr>
                <w:sz w:val="12"/>
                <w:szCs w:val="12"/>
              </w:rPr>
            </w:pPr>
          </w:p>
          <w:p w14:paraId="6CFB3646" w14:textId="6B135D0D" w:rsidR="001005A0" w:rsidRPr="00130820" w:rsidRDefault="001005A0" w:rsidP="00130820">
            <w:r w:rsidRPr="00130820">
              <w:t xml:space="preserve">Mise en garde sur la frise historique qui n’a pas de zéro, l’an 0 n’existant pas. </w:t>
            </w:r>
            <w:r w:rsidR="003672FF" w:rsidRPr="00130820">
              <w:t>À</w:t>
            </w:r>
            <w:r w:rsidRPr="00130820">
              <w:t xml:space="preserve"> utiliser donc uniquement pour une modélisation par des nombres de même signe.</w:t>
            </w:r>
          </w:p>
          <w:p w14:paraId="4B8527F0" w14:textId="77777777" w:rsidR="006D2DB2" w:rsidRDefault="006D2DB2" w:rsidP="001921DC"/>
          <w:p w14:paraId="3FBDFFB3" w14:textId="11E509A4" w:rsidR="001005A0" w:rsidRPr="00E262E5" w:rsidRDefault="0025098A" w:rsidP="001921DC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Pyramide additive</w:t>
            </w:r>
          </w:p>
          <w:p w14:paraId="6E8449D6" w14:textId="48F9AFE9" w:rsidR="001005A0" w:rsidRPr="0025098A" w:rsidRDefault="001005A0" w:rsidP="001921DC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>Objectifs :</w:t>
            </w:r>
            <w:r w:rsidR="0025098A">
              <w:rPr>
                <w:b/>
                <w:bCs/>
                <w:color w:val="0070C0"/>
              </w:rPr>
              <w:t xml:space="preserve"> </w:t>
            </w:r>
            <w:r w:rsidR="0025098A">
              <w:rPr>
                <w:i/>
                <w:iCs/>
              </w:rPr>
              <w:t>retravailler sur les additions de nombres relatifs</w:t>
            </w:r>
          </w:p>
          <w:p w14:paraId="3058375C" w14:textId="45F45B58" w:rsidR="00C83A22" w:rsidRDefault="00002FA0" w:rsidP="001921DC">
            <w:pPr>
              <w:rPr>
                <w:color w:val="000000" w:themeColor="text1"/>
              </w:rPr>
            </w:pPr>
            <w:r w:rsidRPr="010B0232">
              <w:rPr>
                <w:color w:val="000000" w:themeColor="text1"/>
              </w:rPr>
              <w:t>Compléter</w:t>
            </w:r>
            <w:r w:rsidR="006D2DB2" w:rsidRPr="010B0232">
              <w:rPr>
                <w:color w:val="000000" w:themeColor="text1"/>
              </w:rPr>
              <w:t xml:space="preserve"> l</w:t>
            </w:r>
            <w:r w:rsidR="64CFBC6E" w:rsidRPr="010B0232">
              <w:rPr>
                <w:color w:val="000000" w:themeColor="text1"/>
              </w:rPr>
              <w:t xml:space="preserve">es </w:t>
            </w:r>
            <w:r w:rsidR="006D2DB2" w:rsidRPr="010B0232">
              <w:rPr>
                <w:color w:val="000000" w:themeColor="text1"/>
              </w:rPr>
              <w:t>pyramide</w:t>
            </w:r>
            <w:r w:rsidR="2B7B8523" w:rsidRPr="010B0232">
              <w:rPr>
                <w:color w:val="000000" w:themeColor="text1"/>
              </w:rPr>
              <w:t>s ci-dessous</w:t>
            </w:r>
            <w:r w:rsidR="001C1270" w:rsidRPr="010B0232">
              <w:rPr>
                <w:color w:val="000000" w:themeColor="text1"/>
              </w:rPr>
              <w:t xml:space="preserve"> sachant que le nombre contenu dans une case est la somme des deux nombres situés dans les deux cases en dessous.</w:t>
            </w:r>
            <w:r w:rsidR="262C58F7" w:rsidRPr="010B0232">
              <w:rPr>
                <w:color w:val="000000" w:themeColor="text1"/>
              </w:rPr>
              <w:t xml:space="preserve"> </w:t>
            </w:r>
          </w:p>
          <w:p w14:paraId="202B90F9" w14:textId="70F726D1" w:rsidR="001C1270" w:rsidRDefault="001C1270" w:rsidP="001921DC">
            <w:pPr>
              <w:rPr>
                <w:color w:val="000000" w:themeColor="text1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931368" w14:paraId="1D128182" w14:textId="77777777" w:rsidTr="00931368">
              <w:tc>
                <w:tcPr>
                  <w:tcW w:w="4990" w:type="dxa"/>
                </w:tcPr>
                <w:p w14:paraId="23F69D21" w14:textId="77777777" w:rsidR="00362BF7" w:rsidRDefault="00362BF7" w:rsidP="00362BF7"/>
                <w:tbl>
                  <w:tblPr>
                    <w:tblW w:w="41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520"/>
                    <w:gridCol w:w="520"/>
                    <w:gridCol w:w="520"/>
                    <w:gridCol w:w="520"/>
                    <w:gridCol w:w="520"/>
                    <w:gridCol w:w="520"/>
                    <w:gridCol w:w="520"/>
                  </w:tblGrid>
                  <w:tr w:rsidR="00362BF7" w:rsidRPr="00490D38" w14:paraId="0A791655" w14:textId="77777777" w:rsidTr="00691E6D">
                    <w:trPr>
                      <w:trHeight w:val="420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F6B55B" w14:textId="77777777" w:rsidR="00362BF7" w:rsidRPr="00490D38" w:rsidRDefault="00362BF7" w:rsidP="00362BF7">
                        <w:pPr>
                          <w:rPr>
                            <w:rFonts w:ascii="Times New Roman" w:eastAsia="Times New Roman" w:hAnsi="Times New Roman" w:cs="Times New Roman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985102" w14:textId="77777777" w:rsidR="00362BF7" w:rsidRPr="00490D38" w:rsidRDefault="00362BF7" w:rsidP="00362B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687140" w14:textId="77777777" w:rsidR="00362BF7" w:rsidRPr="00490D38" w:rsidRDefault="00362BF7" w:rsidP="00362B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000000" w:fill="00B0F0"/>
                        <w:noWrap/>
                        <w:vAlign w:val="bottom"/>
                        <w:hideMark/>
                      </w:tcPr>
                      <w:p w14:paraId="00CD6E96" w14:textId="77777777" w:rsidR="00362BF7" w:rsidRPr="00490D38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 w:rsidRPr="00490D38"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181043" w14:textId="77777777" w:rsidR="00362BF7" w:rsidRPr="00490D38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34B4C8" w14:textId="77777777" w:rsidR="00362BF7" w:rsidRPr="00490D38" w:rsidRDefault="00362BF7" w:rsidP="00362B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0824D0" w14:textId="77777777" w:rsidR="00362BF7" w:rsidRPr="00490D38" w:rsidRDefault="00362BF7" w:rsidP="00362B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362BF7" w:rsidRPr="00490D38" w14:paraId="41B35A02" w14:textId="77777777" w:rsidTr="00691E6D">
                    <w:trPr>
                      <w:trHeight w:val="420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5A7B64" w14:textId="77777777" w:rsidR="00362BF7" w:rsidRPr="00490D38" w:rsidRDefault="00362BF7" w:rsidP="00362B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3C943A" w14:textId="77777777" w:rsidR="00362BF7" w:rsidRPr="00490D38" w:rsidRDefault="00362BF7" w:rsidP="00362B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630F5A4C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  <w:r w:rsidRPr="00DC1AF5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  <w:t>-8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5F07FEA8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16632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A6CF9" w14:textId="77777777" w:rsidR="00362BF7" w:rsidRPr="00DC1AF5" w:rsidRDefault="00362BF7" w:rsidP="00362BF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fr-FR"/>
                          </w:rPr>
                        </w:pPr>
                      </w:p>
                    </w:tc>
                  </w:tr>
                  <w:tr w:rsidR="00362BF7" w:rsidRPr="00490D38" w14:paraId="35A6AC56" w14:textId="77777777" w:rsidTr="00691E6D">
                    <w:trPr>
                      <w:trHeight w:val="420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90D87E" w14:textId="77777777" w:rsidR="00362BF7" w:rsidRPr="00490D38" w:rsidRDefault="00362BF7" w:rsidP="00362B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07CE247B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0A5A39D6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  <w:r w:rsidRPr="00DC1AF5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42696E3B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69CB5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</w:p>
                    </w:tc>
                  </w:tr>
                  <w:tr w:rsidR="00362BF7" w:rsidRPr="00490D38" w14:paraId="0382684F" w14:textId="77777777" w:rsidTr="00691E6D">
                    <w:trPr>
                      <w:trHeight w:val="420"/>
                    </w:trPr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bottom"/>
                        <w:hideMark/>
                      </w:tcPr>
                      <w:p w14:paraId="562E3E40" w14:textId="77777777" w:rsidR="00362BF7" w:rsidRPr="00490D38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</w:pPr>
                        <w:r w:rsidRPr="00490D38">
                          <w:rPr>
                            <w:rFonts w:ascii="Calibri" w:eastAsia="Times New Roman" w:hAnsi="Calibri" w:cs="Calibri"/>
                            <w:color w:val="000000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47170361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  <w:r w:rsidRPr="00DC1AF5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  <w:t>-3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58E969D1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0D8D5F01" w14:textId="77777777" w:rsidR="00362BF7" w:rsidRPr="00DC1AF5" w:rsidRDefault="00362BF7" w:rsidP="00362BF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</w:pPr>
                        <w:r w:rsidRPr="00DC1AF5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fr-FR"/>
                          </w:rPr>
                          <w:t>4</w:t>
                        </w:r>
                      </w:p>
                    </w:tc>
                  </w:tr>
                </w:tbl>
                <w:p w14:paraId="010B15B6" w14:textId="5F6CF8E3" w:rsidR="00931368" w:rsidRDefault="00931368" w:rsidP="00931368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0D6DB2B0" w14:textId="13BF404A" w:rsidR="00263BA5" w:rsidRPr="00263BA5" w:rsidRDefault="00263BA5" w:rsidP="00931368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263BA5">
                    <w:rPr>
                      <w:b/>
                      <w:bCs/>
                      <w:color w:val="000000" w:themeColor="text1"/>
                    </w:rPr>
                    <w:t>a.</w:t>
                  </w:r>
                </w:p>
              </w:tc>
              <w:tc>
                <w:tcPr>
                  <w:tcW w:w="4990" w:type="dxa"/>
                </w:tcPr>
                <w:p w14:paraId="1F679977" w14:textId="25925172" w:rsidR="00931368" w:rsidRDefault="00931368" w:rsidP="001921DC">
                  <w:pPr>
                    <w:rPr>
                      <w:color w:val="000000" w:themeColor="text1"/>
                    </w:rPr>
                  </w:pPr>
                </w:p>
                <w:tbl>
                  <w:tblPr>
                    <w:tblW w:w="41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520"/>
                    <w:gridCol w:w="520"/>
                    <w:gridCol w:w="520"/>
                    <w:gridCol w:w="520"/>
                    <w:gridCol w:w="520"/>
                    <w:gridCol w:w="520"/>
                    <w:gridCol w:w="520"/>
                  </w:tblGrid>
                  <w:tr w:rsidR="003C4DBC" w:rsidRPr="003C4DBC" w14:paraId="39F4743E" w14:textId="77777777" w:rsidTr="003C4DBC">
                    <w:trPr>
                      <w:trHeight w:val="420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6C3AFF" w14:textId="77777777" w:rsidR="003C4DBC" w:rsidRPr="003C4DBC" w:rsidRDefault="003C4DBC" w:rsidP="003C4DBC">
                        <w:pPr>
                          <w:rPr>
                            <w:rFonts w:ascii="Times New Roman" w:eastAsia="Times New Roman" w:hAnsi="Times New Roman" w:cs="Times New Roman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2019CA" w14:textId="77777777" w:rsidR="003C4DBC" w:rsidRPr="003C4DBC" w:rsidRDefault="003C4DBC" w:rsidP="003C4DB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A02FE" w14:textId="77777777" w:rsidR="003C4DBC" w:rsidRPr="003C4DBC" w:rsidRDefault="003C4DBC" w:rsidP="003C4DB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6EA1B558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-1,8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6E076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DF380" w14:textId="77777777" w:rsidR="003C4DBC" w:rsidRPr="003C4DBC" w:rsidRDefault="003C4DBC" w:rsidP="003C4DB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0326CD" w14:textId="77777777" w:rsidR="003C4DBC" w:rsidRPr="003C4DBC" w:rsidRDefault="003C4DBC" w:rsidP="003C4DB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3C4DBC" w:rsidRPr="003C4DBC" w14:paraId="5E2C1CAA" w14:textId="77777777" w:rsidTr="003C4DBC">
                    <w:trPr>
                      <w:trHeight w:val="420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1C4C55" w14:textId="77777777" w:rsidR="003C4DBC" w:rsidRPr="003C4DBC" w:rsidRDefault="003C4DBC" w:rsidP="003C4DB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9429A" w14:textId="77777777" w:rsidR="003C4DBC" w:rsidRPr="003C4DBC" w:rsidRDefault="003C4DBC" w:rsidP="003C4DB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726CF32C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-10,8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58B9C808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BCE38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32917" w14:textId="77777777" w:rsidR="003C4DBC" w:rsidRPr="003C4DBC" w:rsidRDefault="003C4DBC" w:rsidP="003C4DB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3C4DBC" w:rsidRPr="003C4DBC" w14:paraId="70E0CBCE" w14:textId="77777777" w:rsidTr="003C4DBC">
                    <w:trPr>
                      <w:trHeight w:val="420"/>
                    </w:trPr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48045" w14:textId="77777777" w:rsidR="003C4DBC" w:rsidRPr="003C4DBC" w:rsidRDefault="003C4DBC" w:rsidP="003C4DB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0DC9C118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10016A06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214D136A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E9BEE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</w:p>
                    </w:tc>
                  </w:tr>
                  <w:tr w:rsidR="003C4DBC" w:rsidRPr="003C4DBC" w14:paraId="50EF06F1" w14:textId="77777777" w:rsidTr="003C4DBC">
                    <w:trPr>
                      <w:trHeight w:val="420"/>
                    </w:trPr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7AF78F93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064BF06B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-5,1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2A52EFA5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8,5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00B0F0"/>
                        <w:noWrap/>
                        <w:vAlign w:val="center"/>
                        <w:hideMark/>
                      </w:tcPr>
                      <w:p w14:paraId="4AC05E50" w14:textId="77777777" w:rsidR="003C4DBC" w:rsidRPr="003C4DBC" w:rsidRDefault="003C4DBC" w:rsidP="003C4DBC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</w:pPr>
                        <w:r w:rsidRPr="003C4DB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14:paraId="794B4566" w14:textId="77777777" w:rsidR="003C4DBC" w:rsidRDefault="003C4DBC" w:rsidP="001921DC">
                  <w:pPr>
                    <w:rPr>
                      <w:color w:val="000000" w:themeColor="text1"/>
                    </w:rPr>
                  </w:pPr>
                </w:p>
                <w:p w14:paraId="446CCD73" w14:textId="0C5623DF" w:rsidR="00F46A47" w:rsidRPr="00F46A47" w:rsidRDefault="00F46A47" w:rsidP="00F46A47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46A47">
                    <w:rPr>
                      <w:b/>
                      <w:bCs/>
                      <w:color w:val="000000" w:themeColor="text1"/>
                    </w:rPr>
                    <w:t xml:space="preserve">b. </w:t>
                  </w:r>
                </w:p>
              </w:tc>
            </w:tr>
          </w:tbl>
          <w:p w14:paraId="1D83F7BE" w14:textId="77777777" w:rsidR="0025098A" w:rsidRDefault="0025098A" w:rsidP="0025098A">
            <w:pPr>
              <w:jc w:val="both"/>
              <w:rPr>
                <w:b/>
                <w:bCs/>
                <w:i/>
                <w:iCs/>
                <w:color w:val="0070C0"/>
              </w:rPr>
            </w:pPr>
            <w:r w:rsidRPr="00643972">
              <w:rPr>
                <w:b/>
                <w:bCs/>
                <w:color w:val="0070C0"/>
              </w:rPr>
              <w:t xml:space="preserve">Différenciation possible </w:t>
            </w:r>
            <w:r w:rsidRPr="00643972">
              <w:rPr>
                <w:b/>
                <w:bCs/>
                <w:i/>
                <w:iCs/>
                <w:color w:val="0070C0"/>
              </w:rPr>
              <w:t>:</w:t>
            </w:r>
            <w:r>
              <w:rPr>
                <w:b/>
                <w:bCs/>
                <w:i/>
                <w:iCs/>
                <w:color w:val="0070C0"/>
              </w:rPr>
              <w:t xml:space="preserve"> </w:t>
            </w:r>
          </w:p>
          <w:p w14:paraId="155C1A26" w14:textId="1C44BCC4" w:rsidR="0025098A" w:rsidRDefault="001C1270" w:rsidP="0025098A">
            <w:pPr>
              <w:pStyle w:val="Paragraphedeliste"/>
              <w:numPr>
                <w:ilvl w:val="0"/>
                <w:numId w:val="4"/>
              </w:numPr>
              <w:jc w:val="both"/>
            </w:pPr>
            <w:proofErr w:type="gramStart"/>
            <w:r>
              <w:t>pyramide</w:t>
            </w:r>
            <w:proofErr w:type="gramEnd"/>
            <w:r>
              <w:t xml:space="preserve"> en </w:t>
            </w:r>
            <w:r w:rsidRPr="0025098A">
              <w:rPr>
                <w:b/>
                <w:bCs/>
              </w:rPr>
              <w:t>a</w:t>
            </w:r>
            <w:r w:rsidR="00E42F68" w:rsidRPr="0025098A">
              <w:rPr>
                <w:b/>
                <w:bCs/>
              </w:rPr>
              <w:t xml:space="preserve">. </w:t>
            </w:r>
            <w:r>
              <w:t xml:space="preserve">avec des entiers relatifs pour les élèves n’étant pas encore familiarisés avec les opérations sur les décimaux relatifs </w:t>
            </w:r>
            <w:r w:rsidR="00E42F68">
              <w:t>non entiers</w:t>
            </w:r>
            <w:r w:rsidR="0025098A">
              <w:t> ;</w:t>
            </w:r>
            <w:r>
              <w:t xml:space="preserve"> </w:t>
            </w:r>
          </w:p>
          <w:p w14:paraId="27868905" w14:textId="55EA3766" w:rsidR="00BA5036" w:rsidRDefault="001C1270" w:rsidP="0025098A">
            <w:pPr>
              <w:pStyle w:val="Paragraphedeliste"/>
              <w:numPr>
                <w:ilvl w:val="0"/>
                <w:numId w:val="4"/>
              </w:numPr>
              <w:jc w:val="both"/>
            </w:pPr>
            <w:proofErr w:type="gramStart"/>
            <w:r>
              <w:t>pyramide</w:t>
            </w:r>
            <w:proofErr w:type="gramEnd"/>
            <w:r>
              <w:t xml:space="preserve"> en </w:t>
            </w:r>
            <w:r w:rsidRPr="0025098A">
              <w:rPr>
                <w:b/>
                <w:bCs/>
              </w:rPr>
              <w:t>b</w:t>
            </w:r>
            <w:r w:rsidR="00E42F68" w:rsidRPr="0025098A">
              <w:rPr>
                <w:b/>
                <w:bCs/>
              </w:rPr>
              <w:t xml:space="preserve">. </w:t>
            </w:r>
            <w:r>
              <w:t>avec des décimaux non entiers pour les élèves plus agiles sur les calculs.</w:t>
            </w:r>
          </w:p>
          <w:p w14:paraId="6B9648DB" w14:textId="5FAAD077" w:rsidR="00F46A47" w:rsidRPr="00F46A47" w:rsidRDefault="00F46A47" w:rsidP="0025098A">
            <w:pPr>
              <w:jc w:val="both"/>
            </w:pPr>
          </w:p>
        </w:tc>
      </w:tr>
      <w:tr w:rsidR="006C492C" w14:paraId="2938C498" w14:textId="77777777" w:rsidTr="00CA2F7F">
        <w:tc>
          <w:tcPr>
            <w:tcW w:w="10206" w:type="dxa"/>
          </w:tcPr>
          <w:p w14:paraId="53D5E7DF" w14:textId="77777777" w:rsidR="006C492C" w:rsidRPr="00BA5036" w:rsidRDefault="00F21180" w:rsidP="007007EE">
            <w:pPr>
              <w:spacing w:before="120"/>
              <w:rPr>
                <w:b/>
                <w:bCs/>
                <w:color w:val="7030A0"/>
                <w:sz w:val="28"/>
                <w:szCs w:val="28"/>
              </w:rPr>
            </w:pPr>
            <w:r w:rsidRPr="00BA5036">
              <w:rPr>
                <w:b/>
                <w:bCs/>
                <w:color w:val="7030A0"/>
                <w:sz w:val="28"/>
                <w:szCs w:val="28"/>
              </w:rPr>
              <w:lastRenderedPageBreak/>
              <w:t>Pour aller plus loin</w:t>
            </w:r>
          </w:p>
          <w:p w14:paraId="692D4198" w14:textId="4F4DB076" w:rsidR="007007EE" w:rsidRPr="007007EE" w:rsidRDefault="004C0258" w:rsidP="007007E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Theme="minorHAnsi" w:hAnsiTheme="minorHAnsi" w:cstheme="minorHAnsi"/>
                <w:u w:val="single"/>
              </w:rPr>
            </w:pPr>
            <w:r w:rsidRPr="007007EE">
              <w:rPr>
                <w:rFonts w:asciiTheme="minorHAnsi" w:hAnsiTheme="minorHAnsi" w:cstheme="minorHAnsi"/>
              </w:rPr>
              <w:t xml:space="preserve">Éduscol : Utiliser les nombres pour comparer, calculer et résoudre des </w:t>
            </w:r>
            <w:r w:rsidR="006064B6" w:rsidRPr="007007EE">
              <w:rPr>
                <w:rFonts w:asciiTheme="minorHAnsi" w:hAnsiTheme="minorHAnsi" w:cstheme="minorHAnsi"/>
              </w:rPr>
              <w:t>problèmes</w:t>
            </w:r>
            <w:r w:rsidRPr="007007EE">
              <w:rPr>
                <w:rFonts w:asciiTheme="minorHAnsi" w:hAnsiTheme="minorHAnsi" w:cstheme="minorHAnsi"/>
              </w:rPr>
              <w:t xml:space="preserve"> : les nombres relatifs :</w:t>
            </w:r>
          </w:p>
          <w:p w14:paraId="7277800C" w14:textId="77777777" w:rsidR="007007EE" w:rsidRPr="007007EE" w:rsidRDefault="007007EE" w:rsidP="007007EE">
            <w:pPr>
              <w:pStyle w:val="NormalWeb"/>
              <w:shd w:val="clear" w:color="auto" w:fill="FFFFFF"/>
              <w:spacing w:before="0" w:beforeAutospacing="0" w:after="0" w:afterAutospacing="0"/>
              <w:ind w:left="714"/>
              <w:rPr>
                <w:rFonts w:asciiTheme="minorHAnsi" w:hAnsiTheme="minorHAnsi" w:cstheme="minorHAnsi"/>
                <w:u w:val="single"/>
              </w:rPr>
            </w:pPr>
          </w:p>
          <w:p w14:paraId="25039CFB" w14:textId="77777777" w:rsidR="007007EE" w:rsidRDefault="004C0258" w:rsidP="007007E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ienhypertexte"/>
                <w:rFonts w:asciiTheme="minorHAnsi" w:hAnsiTheme="minorHAnsi" w:cstheme="minorHAnsi"/>
              </w:rPr>
            </w:pPr>
            <w:r w:rsidRPr="007007EE">
              <w:rPr>
                <w:rFonts w:asciiTheme="minorHAnsi" w:hAnsiTheme="minorHAnsi" w:cstheme="minorHAnsi"/>
                <w:color w:val="1C728C"/>
              </w:rPr>
              <w:t xml:space="preserve">             </w:t>
            </w:r>
            <w:hyperlink r:id="rId8" w:history="1">
              <w:r w:rsidRPr="007007EE">
                <w:rPr>
                  <w:rStyle w:val="Lienhypertexte"/>
                  <w:rFonts w:asciiTheme="minorHAnsi" w:hAnsiTheme="minorHAnsi" w:cstheme="minorHAnsi"/>
                </w:rPr>
                <w:t>https://eduscol.education.fr/document/17245/download</w:t>
              </w:r>
            </w:hyperlink>
          </w:p>
          <w:p w14:paraId="02203909" w14:textId="08EDC74D" w:rsidR="007007EE" w:rsidRPr="005B181F" w:rsidRDefault="007007EE" w:rsidP="007007E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1C728C"/>
              </w:rPr>
            </w:pPr>
          </w:p>
        </w:tc>
      </w:tr>
    </w:tbl>
    <w:p w14:paraId="5A2448C3" w14:textId="77777777" w:rsidR="00A7148F" w:rsidRDefault="00A7148F" w:rsidP="007007EE"/>
    <w:sectPr w:rsidR="00A7148F" w:rsidSect="007007EE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08BB"/>
    <w:multiLevelType w:val="hybridMultilevel"/>
    <w:tmpl w:val="A712F2E2"/>
    <w:lvl w:ilvl="0" w:tplc="D33C31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4527E"/>
    <w:multiLevelType w:val="hybridMultilevel"/>
    <w:tmpl w:val="57B40C70"/>
    <w:lvl w:ilvl="0" w:tplc="8C6A6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3943"/>
    <w:multiLevelType w:val="hybridMultilevel"/>
    <w:tmpl w:val="94227644"/>
    <w:lvl w:ilvl="0" w:tplc="B4CEBE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047B"/>
    <w:multiLevelType w:val="hybridMultilevel"/>
    <w:tmpl w:val="0B9A8DD8"/>
    <w:lvl w:ilvl="0" w:tplc="FE0C97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052E7"/>
    <w:multiLevelType w:val="hybridMultilevel"/>
    <w:tmpl w:val="EA72D4A4"/>
    <w:lvl w:ilvl="0" w:tplc="399A4B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63F0"/>
    <w:multiLevelType w:val="hybridMultilevel"/>
    <w:tmpl w:val="EA069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D2804"/>
    <w:multiLevelType w:val="hybridMultilevel"/>
    <w:tmpl w:val="C0A4EBFC"/>
    <w:lvl w:ilvl="0" w:tplc="66901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F"/>
    <w:rsid w:val="00002FA0"/>
    <w:rsid w:val="00040AEF"/>
    <w:rsid w:val="00064256"/>
    <w:rsid w:val="000F3408"/>
    <w:rsid w:val="001005A0"/>
    <w:rsid w:val="0012746D"/>
    <w:rsid w:val="00130820"/>
    <w:rsid w:val="001921DC"/>
    <w:rsid w:val="001B552E"/>
    <w:rsid w:val="001C0B89"/>
    <w:rsid w:val="001C1270"/>
    <w:rsid w:val="00207127"/>
    <w:rsid w:val="002143F0"/>
    <w:rsid w:val="00242D7E"/>
    <w:rsid w:val="0025098A"/>
    <w:rsid w:val="00252C9F"/>
    <w:rsid w:val="00263BA5"/>
    <w:rsid w:val="002A0331"/>
    <w:rsid w:val="002A74D1"/>
    <w:rsid w:val="002F1E4D"/>
    <w:rsid w:val="002F5B75"/>
    <w:rsid w:val="003226E6"/>
    <w:rsid w:val="00324D83"/>
    <w:rsid w:val="00327574"/>
    <w:rsid w:val="003343D9"/>
    <w:rsid w:val="003473F2"/>
    <w:rsid w:val="00350AF5"/>
    <w:rsid w:val="00362BF7"/>
    <w:rsid w:val="003672FF"/>
    <w:rsid w:val="00373A02"/>
    <w:rsid w:val="00374832"/>
    <w:rsid w:val="003A17C0"/>
    <w:rsid w:val="003C4DBC"/>
    <w:rsid w:val="003F5C4F"/>
    <w:rsid w:val="00460244"/>
    <w:rsid w:val="00466702"/>
    <w:rsid w:val="004C0258"/>
    <w:rsid w:val="004F58D5"/>
    <w:rsid w:val="005053C4"/>
    <w:rsid w:val="00505F82"/>
    <w:rsid w:val="00512B16"/>
    <w:rsid w:val="0053007C"/>
    <w:rsid w:val="00534187"/>
    <w:rsid w:val="00542C17"/>
    <w:rsid w:val="00572A47"/>
    <w:rsid w:val="00581A80"/>
    <w:rsid w:val="005B181F"/>
    <w:rsid w:val="006064B6"/>
    <w:rsid w:val="006109BE"/>
    <w:rsid w:val="006B0EDE"/>
    <w:rsid w:val="006C492C"/>
    <w:rsid w:val="006D096A"/>
    <w:rsid w:val="006D2DB2"/>
    <w:rsid w:val="007007EE"/>
    <w:rsid w:val="00713B65"/>
    <w:rsid w:val="00731930"/>
    <w:rsid w:val="00740CCE"/>
    <w:rsid w:val="007A10F5"/>
    <w:rsid w:val="007C280F"/>
    <w:rsid w:val="007C3DFB"/>
    <w:rsid w:val="007D059F"/>
    <w:rsid w:val="007E43D6"/>
    <w:rsid w:val="00840731"/>
    <w:rsid w:val="008650D6"/>
    <w:rsid w:val="00886E88"/>
    <w:rsid w:val="008B2285"/>
    <w:rsid w:val="008B7EA2"/>
    <w:rsid w:val="008C66F7"/>
    <w:rsid w:val="00900AC5"/>
    <w:rsid w:val="0092523F"/>
    <w:rsid w:val="00927003"/>
    <w:rsid w:val="00931368"/>
    <w:rsid w:val="00947221"/>
    <w:rsid w:val="009A6C60"/>
    <w:rsid w:val="009A73B5"/>
    <w:rsid w:val="009B3270"/>
    <w:rsid w:val="009C2AD0"/>
    <w:rsid w:val="009D1380"/>
    <w:rsid w:val="009D2127"/>
    <w:rsid w:val="00A27010"/>
    <w:rsid w:val="00A31048"/>
    <w:rsid w:val="00A41EFF"/>
    <w:rsid w:val="00A45D2C"/>
    <w:rsid w:val="00A7148F"/>
    <w:rsid w:val="00AA4B2C"/>
    <w:rsid w:val="00AA749D"/>
    <w:rsid w:val="00AE1C71"/>
    <w:rsid w:val="00B840FF"/>
    <w:rsid w:val="00BA5036"/>
    <w:rsid w:val="00BE783A"/>
    <w:rsid w:val="00C006EF"/>
    <w:rsid w:val="00C03176"/>
    <w:rsid w:val="00C244A3"/>
    <w:rsid w:val="00C30BC5"/>
    <w:rsid w:val="00C60789"/>
    <w:rsid w:val="00C81634"/>
    <w:rsid w:val="00C83A22"/>
    <w:rsid w:val="00CA2F7F"/>
    <w:rsid w:val="00CB0786"/>
    <w:rsid w:val="00D13F3A"/>
    <w:rsid w:val="00D14341"/>
    <w:rsid w:val="00D3457E"/>
    <w:rsid w:val="00D40F5B"/>
    <w:rsid w:val="00D47444"/>
    <w:rsid w:val="00D562EF"/>
    <w:rsid w:val="00DC6985"/>
    <w:rsid w:val="00DE4A3E"/>
    <w:rsid w:val="00E20393"/>
    <w:rsid w:val="00E262E5"/>
    <w:rsid w:val="00E42F68"/>
    <w:rsid w:val="00E76136"/>
    <w:rsid w:val="00EA0CA7"/>
    <w:rsid w:val="00F13E07"/>
    <w:rsid w:val="00F21180"/>
    <w:rsid w:val="00F247B9"/>
    <w:rsid w:val="00F46A47"/>
    <w:rsid w:val="00F54F8B"/>
    <w:rsid w:val="00F711F0"/>
    <w:rsid w:val="00F711F3"/>
    <w:rsid w:val="00FA47EE"/>
    <w:rsid w:val="010B0232"/>
    <w:rsid w:val="0119EABC"/>
    <w:rsid w:val="01A52CF8"/>
    <w:rsid w:val="02B5BB1D"/>
    <w:rsid w:val="0D4048DC"/>
    <w:rsid w:val="0EDC193D"/>
    <w:rsid w:val="1077E99E"/>
    <w:rsid w:val="176039B3"/>
    <w:rsid w:val="25B034DD"/>
    <w:rsid w:val="262C58F7"/>
    <w:rsid w:val="2B1FA1BE"/>
    <w:rsid w:val="2B7B8523"/>
    <w:rsid w:val="2BB4D52B"/>
    <w:rsid w:val="3CCA1F91"/>
    <w:rsid w:val="3D1034C1"/>
    <w:rsid w:val="40C37F5B"/>
    <w:rsid w:val="41DE2BB6"/>
    <w:rsid w:val="45FDF21A"/>
    <w:rsid w:val="55568FE4"/>
    <w:rsid w:val="59F4CDD4"/>
    <w:rsid w:val="5B3DF844"/>
    <w:rsid w:val="61365999"/>
    <w:rsid w:val="63B28066"/>
    <w:rsid w:val="640AAF33"/>
    <w:rsid w:val="64CFBC6E"/>
    <w:rsid w:val="7CC4B0B2"/>
    <w:rsid w:val="7DA9E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DAE3"/>
  <w15:chartTrackingRefBased/>
  <w15:docId w15:val="{ED82396C-4C98-1F41-B80B-C941473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9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02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4C02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025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C0258"/>
    <w:rPr>
      <w:color w:val="954F72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document/17245/downlo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239E6FF5A348BBBD11FFF81D7059" ma:contentTypeVersion="4" ma:contentTypeDescription="Crée un document." ma:contentTypeScope="" ma:versionID="655b0d613545d54a11ca220576118bb3">
  <xsd:schema xmlns:xsd="http://www.w3.org/2001/XMLSchema" xmlns:xs="http://www.w3.org/2001/XMLSchema" xmlns:p="http://schemas.microsoft.com/office/2006/metadata/properties" xmlns:ns2="26e49db9-2fc5-4575-8d46-62a93d39be42" targetNamespace="http://schemas.microsoft.com/office/2006/metadata/properties" ma:root="true" ma:fieldsID="1b7158f274acd5e543a2416c170d7a21" ns2:_="">
    <xsd:import namespace="26e49db9-2fc5-4575-8d46-62a93d39b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9db9-2fc5-4575-8d46-62a93d39b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F8400-ABCE-4BE3-BE08-044389BA1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38736-E87F-451E-A5CC-A1EFF3869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9db9-2fc5-4575-8d46-62a93d39b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97180-22D8-4A7D-9E11-AFD79505B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IPR-maths</dc:creator>
  <cp:keywords/>
  <dc:description/>
  <cp:lastModifiedBy>Christine Weill</cp:lastModifiedBy>
  <cp:revision>2</cp:revision>
  <dcterms:created xsi:type="dcterms:W3CDTF">2023-06-20T07:08:00Z</dcterms:created>
  <dcterms:modified xsi:type="dcterms:W3CDTF">2023-06-20T07:08:00Z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0x01010013A9239E6FF5A348BBBD11FFF81D7059</vt:lpwstr>
  </property>
</Properties>
</file>